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F935CA">
        <w:rPr>
          <w:rFonts w:ascii="Times New Roman" w:hAnsi="Times New Roman"/>
          <w:bCs w:val="0"/>
          <w:sz w:val="24"/>
          <w:szCs w:val="24"/>
        </w:rPr>
        <w:t>8</w:t>
      </w:r>
      <w:r w:rsidR="00B952DA">
        <w:rPr>
          <w:rFonts w:ascii="Times New Roman" w:hAnsi="Times New Roman"/>
          <w:bCs w:val="0"/>
          <w:sz w:val="24"/>
          <w:szCs w:val="24"/>
        </w:rPr>
        <w:t>2</w:t>
      </w: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181C4E" w:rsidRPr="00181C4E">
        <w:rPr>
          <w:rFonts w:ascii="Times New Roman" w:hAnsi="Times New Roman"/>
          <w:sz w:val="24"/>
          <w:szCs w:val="24"/>
        </w:rPr>
        <w:t>03</w:t>
      </w:r>
      <w:r w:rsidR="002D5861" w:rsidRPr="00181C4E">
        <w:rPr>
          <w:rFonts w:ascii="Times New Roman" w:hAnsi="Times New Roman"/>
          <w:sz w:val="24"/>
          <w:szCs w:val="24"/>
        </w:rPr>
        <w:t>.</w:t>
      </w:r>
      <w:r w:rsidR="00363385" w:rsidRPr="00181C4E">
        <w:rPr>
          <w:rFonts w:ascii="Times New Roman" w:hAnsi="Times New Roman"/>
          <w:sz w:val="24"/>
          <w:szCs w:val="24"/>
        </w:rPr>
        <w:t>12</w:t>
      </w:r>
      <w:r w:rsidR="009D7118" w:rsidRPr="00181C4E">
        <w:rPr>
          <w:rFonts w:ascii="Times New Roman" w:hAnsi="Times New Roman"/>
          <w:sz w:val="24"/>
          <w:szCs w:val="24"/>
        </w:rPr>
        <w:t>.</w:t>
      </w:r>
      <w:r w:rsidR="002D5861" w:rsidRPr="00181C4E">
        <w:rPr>
          <w:rFonts w:ascii="Times New Roman" w:hAnsi="Times New Roman"/>
          <w:sz w:val="24"/>
          <w:szCs w:val="24"/>
        </w:rPr>
        <w:t>201</w:t>
      </w:r>
      <w:r w:rsidR="004E509A" w:rsidRPr="00181C4E">
        <w:rPr>
          <w:rFonts w:ascii="Times New Roman" w:hAnsi="Times New Roman"/>
          <w:sz w:val="24"/>
          <w:szCs w:val="24"/>
        </w:rPr>
        <w:t>5</w:t>
      </w:r>
      <w:r w:rsidR="002D5861" w:rsidRPr="00181C4E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952DA">
        <w:rPr>
          <w:rFonts w:ascii="Times New Roman" w:hAnsi="Times New Roman"/>
          <w:sz w:val="24"/>
          <w:szCs w:val="24"/>
          <w:lang w:eastAsia="ru-RU"/>
        </w:rPr>
        <w:t>09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B952DA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47°12'34,42"СШ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39°48'03,05"ВД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 xml:space="preserve">47°12'35,29"СШ 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39°48'01,38"ВД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 xml:space="preserve">47°12'41,62"СШ 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39°48'08,06"ВД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47°12'40,76"СШ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39°48'09,75"ВД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47°12'40,09"СШ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39°48'08,40"ВД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47°12'36,50"СШ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39°48'04,61"ВД</w:t>
            </w:r>
          </w:p>
        </w:tc>
      </w:tr>
      <w:tr w:rsidR="00B952DA" w:rsidRPr="00B952DA" w:rsidTr="003A314A">
        <w:tc>
          <w:tcPr>
            <w:tcW w:w="1701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47°12'36,29"СШ</w:t>
            </w:r>
          </w:p>
        </w:tc>
        <w:tc>
          <w:tcPr>
            <w:tcW w:w="2835" w:type="dxa"/>
          </w:tcPr>
          <w:p w:rsidR="00B952DA" w:rsidRPr="00B952DA" w:rsidRDefault="00B952DA" w:rsidP="003A31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39°48'05,00"ВД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B952DA" w:rsidRPr="006074F0" w:rsidRDefault="00B952DA" w:rsidP="00B952D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B952DA" w:rsidRDefault="00780E1B" w:rsidP="00B952D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B952DA" w:rsidRPr="00B952DA">
        <w:rPr>
          <w:rFonts w:ascii="Times New Roman" w:hAnsi="Times New Roman"/>
          <w:sz w:val="24"/>
          <w:szCs w:val="24"/>
        </w:rPr>
        <w:t xml:space="preserve"> </w:t>
      </w:r>
    </w:p>
    <w:p w:rsidR="00B952DA" w:rsidRDefault="00B952DA" w:rsidP="00B952DA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4F3EAB" w:rsidRDefault="004F3EAB" w:rsidP="00B952DA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B952DA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B952DA" w:rsidRDefault="00B952DA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B952DA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B952DA" w:rsidRPr="00B952DA">
        <w:rPr>
          <w:rFonts w:ascii="Times New Roman" w:hAnsi="Times New Roman"/>
          <w:color w:val="000000"/>
          <w:sz w:val="24"/>
          <w:szCs w:val="24"/>
        </w:rPr>
        <w:t>070915/2253499/01</w:t>
      </w:r>
      <w:r w:rsidR="00B95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935CA">
        <w:rPr>
          <w:rFonts w:ascii="Times New Roman" w:hAnsi="Times New Roman"/>
          <w:bCs/>
          <w:kern w:val="28"/>
          <w:sz w:val="24"/>
          <w:szCs w:val="24"/>
        </w:rPr>
        <w:t>07</w:t>
      </w:r>
      <w:r w:rsidR="00780E1B">
        <w:rPr>
          <w:rFonts w:ascii="Times New Roman" w:hAnsi="Times New Roman"/>
          <w:bCs/>
          <w:kern w:val="28"/>
          <w:sz w:val="24"/>
          <w:szCs w:val="24"/>
        </w:rPr>
        <w:t>.09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B952DA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B952DA">
        <w:rPr>
          <w:rFonts w:ascii="Times New Roman" w:hAnsi="Times New Roman"/>
          <w:sz w:val="24"/>
          <w:szCs w:val="24"/>
        </w:rPr>
        <w:t>02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1</w:t>
      </w:r>
      <w:r w:rsidR="00181C4E">
        <w:rPr>
          <w:rFonts w:ascii="Times New Roman" w:hAnsi="Times New Roman"/>
          <w:sz w:val="24"/>
          <w:szCs w:val="24"/>
        </w:rPr>
        <w:t>2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6D1BDA">
        <w:rPr>
          <w:rFonts w:ascii="Times New Roman" w:hAnsi="Times New Roman"/>
          <w:sz w:val="24"/>
          <w:szCs w:val="24"/>
        </w:rPr>
        <w:t>00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181C4E">
        <w:rPr>
          <w:rFonts w:ascii="Times New Roman" w:hAnsi="Times New Roman"/>
          <w:sz w:val="24"/>
          <w:szCs w:val="24"/>
        </w:rPr>
        <w:t>03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B952DA" w:rsidRDefault="00B952DA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9067A1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B952DA">
        <w:rPr>
          <w:rFonts w:ascii="Times New Roman" w:hAnsi="Times New Roman"/>
          <w:sz w:val="24"/>
          <w:szCs w:val="24"/>
        </w:rPr>
        <w:t>02</w:t>
      </w:r>
      <w:r w:rsidR="002D5861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B952DA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F935CA">
        <w:rPr>
          <w:rFonts w:ascii="Times New Roman" w:hAnsi="Times New Roman"/>
          <w:sz w:val="24"/>
          <w:szCs w:val="24"/>
        </w:rPr>
        <w:t>ставлены 3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9067A1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952DA">
        <w:rPr>
          <w:rFonts w:ascii="Times New Roman" w:hAnsi="Times New Roman"/>
          <w:sz w:val="24"/>
          <w:szCs w:val="24"/>
        </w:rPr>
        <w:t xml:space="preserve"> 82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144202">
        <w:rPr>
          <w:rFonts w:ascii="Times New Roman" w:hAnsi="Times New Roman"/>
          <w:sz w:val="24"/>
          <w:szCs w:val="24"/>
        </w:rPr>
        <w:t>30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144202">
        <w:rPr>
          <w:rFonts w:ascii="Times New Roman" w:hAnsi="Times New Roman" w:cs="Times New Roman"/>
          <w:sz w:val="24"/>
          <w:szCs w:val="24"/>
        </w:rPr>
        <w:t>11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144202">
        <w:rPr>
          <w:rFonts w:ascii="Times New Roman" w:hAnsi="Times New Roman" w:cs="Times New Roman"/>
          <w:sz w:val="24"/>
          <w:szCs w:val="24"/>
        </w:rPr>
        <w:t>17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B952DA">
        <w:rPr>
          <w:rFonts w:ascii="Times New Roman" w:hAnsi="Times New Roman" w:cs="Times New Roman"/>
          <w:sz w:val="24"/>
          <w:szCs w:val="24"/>
        </w:rPr>
        <w:t>03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B952DA">
        <w:rPr>
          <w:rFonts w:ascii="Times New Roman" w:hAnsi="Times New Roman" w:cs="Times New Roman"/>
          <w:sz w:val="24"/>
          <w:szCs w:val="24"/>
        </w:rPr>
        <w:t>, № 82/2 от 30.11.2015 в 17 ч. 04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B952DA">
        <w:rPr>
          <w:rFonts w:ascii="Times New Roman" w:hAnsi="Times New Roman" w:cs="Times New Roman"/>
          <w:sz w:val="24"/>
          <w:szCs w:val="24"/>
        </w:rPr>
        <w:t>82</w:t>
      </w:r>
      <w:proofErr w:type="gramEnd"/>
      <w:r w:rsidR="00B952D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952DA">
        <w:rPr>
          <w:rFonts w:ascii="Times New Roman" w:hAnsi="Times New Roman" w:cs="Times New Roman"/>
          <w:sz w:val="24"/>
          <w:szCs w:val="24"/>
        </w:rPr>
        <w:t>3 от 01.12.2015 в 10 ч. 31</w:t>
      </w:r>
      <w:r w:rsidR="00F935CA">
        <w:rPr>
          <w:rFonts w:ascii="Times New Roman" w:hAnsi="Times New Roman" w:cs="Times New Roman"/>
          <w:sz w:val="24"/>
          <w:szCs w:val="24"/>
        </w:rPr>
        <w:t xml:space="preserve">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2DA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2DA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2DA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2DA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2DA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2DA" w:rsidRPr="005D7AD7" w:rsidRDefault="00B952DA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743A70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 w:rsidR="009067A1">
              <w:rPr>
                <w:rFonts w:ascii="Times New Roman" w:hAnsi="Times New Roman"/>
              </w:rPr>
              <w:t>Береговая</w:t>
            </w:r>
            <w:proofErr w:type="gramEnd"/>
            <w:r w:rsidR="009067A1"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743A70" w:rsidRPr="00743A70" w:rsidRDefault="009067A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743A70" w:rsidRPr="006858BF" w:rsidRDefault="009067A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743A70" w:rsidRPr="00743A70" w:rsidRDefault="00B952DA" w:rsidP="00B952D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C4214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сорок шесть рублей</w:t>
            </w:r>
            <w:r w:rsidR="001C4214">
              <w:rPr>
                <w:rFonts w:ascii="Times New Roman" w:hAnsi="Times New Roman"/>
              </w:rPr>
              <w:t xml:space="preserve"> 00 копеек</w:t>
            </w:r>
            <w:r w:rsidR="00144202"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>
              <w:rPr>
                <w:rFonts w:ascii="Times New Roman" w:hAnsi="Times New Roman"/>
              </w:rPr>
              <w:t>№ 5635</w:t>
            </w:r>
            <w:r w:rsidR="00144202">
              <w:rPr>
                <w:rFonts w:ascii="Times New Roman" w:hAnsi="Times New Roman"/>
              </w:rPr>
              <w:t xml:space="preserve"> от 18.11</w:t>
            </w:r>
            <w:r w:rsidR="001C4214" w:rsidRPr="005D7AD7">
              <w:rPr>
                <w:rFonts w:ascii="Times New Roman" w:hAnsi="Times New Roman"/>
              </w:rPr>
              <w:t>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«РИФ»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251-43-66</w:t>
            </w:r>
          </w:p>
        </w:tc>
        <w:tc>
          <w:tcPr>
            <w:tcW w:w="1433" w:type="dxa"/>
          </w:tcPr>
          <w:p w:rsidR="00144202" w:rsidRDefault="00B24031" w:rsidP="00B240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44202">
              <w:rPr>
                <w:rFonts w:ascii="Times New Roman" w:hAnsi="Times New Roman"/>
              </w:rPr>
              <w:t xml:space="preserve">,00 </w:t>
            </w:r>
            <w:r>
              <w:rPr>
                <w:rFonts w:ascii="Times New Roman" w:hAnsi="Times New Roman"/>
              </w:rPr>
              <w:t xml:space="preserve">(сорок шесть рублей </w:t>
            </w:r>
            <w:r w:rsidR="00144202">
              <w:rPr>
                <w:rFonts w:ascii="Times New Roman" w:hAnsi="Times New Roman"/>
              </w:rPr>
              <w:t xml:space="preserve">00 копеек), платежное </w:t>
            </w:r>
            <w:r>
              <w:rPr>
                <w:rFonts w:ascii="Times New Roman" w:hAnsi="Times New Roman"/>
              </w:rPr>
              <w:t>поручение № 1949</w:t>
            </w:r>
            <w:r w:rsidR="00144202">
              <w:rPr>
                <w:rFonts w:ascii="Times New Roman" w:hAnsi="Times New Roman"/>
              </w:rPr>
              <w:t xml:space="preserve"> от 12.11.2015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144202" w:rsidRDefault="00B2403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Грызлов Дмитрий Игоревич</w:t>
            </w:r>
          </w:p>
        </w:tc>
        <w:tc>
          <w:tcPr>
            <w:tcW w:w="1370" w:type="dxa"/>
          </w:tcPr>
          <w:p w:rsidR="00144202" w:rsidRDefault="00B2403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890" w:type="dxa"/>
          </w:tcPr>
          <w:p w:rsidR="00144202" w:rsidRPr="00B24031" w:rsidRDefault="00357D72" w:rsidP="00433CA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144202" w:rsidRPr="00B24031" w:rsidRDefault="00357D7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144202" w:rsidRPr="00B24031" w:rsidRDefault="00357D7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33" w:type="dxa"/>
          </w:tcPr>
          <w:p w:rsidR="00144202" w:rsidRDefault="00B24031" w:rsidP="00B240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4420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 xml:space="preserve">сорок шесть рублей </w:t>
            </w:r>
            <w:r w:rsidR="00144202">
              <w:rPr>
                <w:rFonts w:ascii="Times New Roman" w:hAnsi="Times New Roman"/>
              </w:rPr>
              <w:t>00 копеек), платежное поручение</w:t>
            </w:r>
            <w:r>
              <w:rPr>
                <w:rFonts w:ascii="Times New Roman" w:hAnsi="Times New Roman"/>
              </w:rPr>
              <w:t xml:space="preserve"> № 558 от 12</w:t>
            </w:r>
            <w:r w:rsidR="00144202">
              <w:rPr>
                <w:rFonts w:ascii="Times New Roman" w:hAnsi="Times New Roman"/>
              </w:rPr>
              <w:t>.11.2015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B24031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82/1 на участие в аукционе № 82</w:t>
      </w:r>
      <w:r w:rsidR="00620A8A">
        <w:rPr>
          <w:rFonts w:ascii="Times New Roman" w:hAnsi="Times New Roman"/>
          <w:sz w:val="24"/>
          <w:szCs w:val="24"/>
        </w:rPr>
        <w:t xml:space="preserve"> – заявитель ОАО «Ростовский порт»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B24031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82/2 на участие в аукционе № 82</w:t>
      </w:r>
      <w:r w:rsidR="00620A8A">
        <w:rPr>
          <w:rFonts w:ascii="Times New Roman" w:hAnsi="Times New Roman"/>
          <w:sz w:val="24"/>
          <w:szCs w:val="24"/>
        </w:rPr>
        <w:t xml:space="preserve"> – заявитель ЗАО «РИФ»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E3088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</w:t>
      </w:r>
      <w:r w:rsidR="00B24031">
        <w:rPr>
          <w:rFonts w:ascii="Times New Roman" w:hAnsi="Times New Roman"/>
          <w:sz w:val="24"/>
          <w:szCs w:val="24"/>
        </w:rPr>
        <w:t>а № 82/3 на участие в аукционе № 82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="00B24031">
        <w:rPr>
          <w:rFonts w:ascii="Times New Roman" w:hAnsi="Times New Roman"/>
          <w:sz w:val="24"/>
          <w:szCs w:val="24"/>
        </w:rPr>
        <w:t>Индивидуальный предприниматель Грызлов Дмитрий Игоревич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Заявители соответствуют требованиям, предъявляемым законодательством Российской Федерации к лицам, которым предоставляется право 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E30880">
        <w:rPr>
          <w:rFonts w:ascii="Times New Roman" w:hAnsi="Times New Roman"/>
          <w:sz w:val="24"/>
          <w:szCs w:val="24"/>
        </w:rPr>
        <w:t xml:space="preserve"> участниками аукциона три</w:t>
      </w:r>
      <w:r>
        <w:rPr>
          <w:rFonts w:ascii="Times New Roman" w:hAnsi="Times New Roman"/>
          <w:sz w:val="24"/>
          <w:szCs w:val="24"/>
        </w:rPr>
        <w:t xml:space="preserve"> участника, подавшие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</w:t>
      </w:r>
      <w:proofErr w:type="gramStart"/>
      <w:r w:rsidRPr="00E32C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АО «Ростовский порт»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ЗАО «РИФ»</w:t>
      </w:r>
      <w:r w:rsidRPr="00B24031">
        <w:rPr>
          <w:rFonts w:ascii="Times New Roman" w:hAnsi="Times New Roman"/>
        </w:rPr>
        <w:t>,</w:t>
      </w:r>
      <w:r w:rsidR="00B24031" w:rsidRPr="00B24031">
        <w:rPr>
          <w:rFonts w:ascii="Times New Roman" w:hAnsi="Times New Roman"/>
          <w:sz w:val="24"/>
          <w:szCs w:val="24"/>
        </w:rPr>
        <w:t xml:space="preserve"> </w:t>
      </w:r>
      <w:r w:rsidR="00B24031">
        <w:rPr>
          <w:rFonts w:ascii="Times New Roman" w:hAnsi="Times New Roman"/>
          <w:sz w:val="24"/>
          <w:szCs w:val="24"/>
        </w:rPr>
        <w:t>Индивидуальный предприниматель Грызлов Дмитрий Игоревич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620A8A" w:rsidRDefault="00620A8A" w:rsidP="00B24031">
      <w:pPr>
        <w:pStyle w:val="a8"/>
        <w:numPr>
          <w:ilvl w:val="0"/>
          <w:numId w:val="7"/>
        </w:numPr>
        <w:tabs>
          <w:tab w:val="clear" w:pos="1428"/>
          <w:tab w:val="left" w:pos="360"/>
          <w:tab w:val="num" w:pos="426"/>
        </w:tabs>
        <w:spacing w:before="0" w:after="0" w:line="240" w:lineRule="auto"/>
        <w:ind w:left="426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B24031" w:rsidRDefault="00B24031" w:rsidP="00B24031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24031" w:rsidRDefault="00B24031" w:rsidP="00B24031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24031" w:rsidRDefault="00B24031" w:rsidP="00B24031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24031" w:rsidRPr="002B2700" w:rsidRDefault="00B24031" w:rsidP="00B24031">
      <w:pPr>
        <w:pStyle w:val="a8"/>
        <w:tabs>
          <w:tab w:val="left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620A8A" w:rsidRDefault="00620A8A" w:rsidP="00B24031">
      <w:pPr>
        <w:pStyle w:val="a8"/>
        <w:numPr>
          <w:ilvl w:val="0"/>
          <w:numId w:val="7"/>
        </w:numPr>
        <w:tabs>
          <w:tab w:val="clear" w:pos="1428"/>
          <w:tab w:val="num" w:pos="0"/>
          <w:tab w:val="left" w:pos="180"/>
          <w:tab w:val="left" w:pos="426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B24031" w:rsidRDefault="00B24031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24031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24031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C14A3C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B240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620A8A" w:rsidRPr="00436D78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5F1E928E"/>
    <w:lvl w:ilvl="0" w:tplc="0419000F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D0C63"/>
    <w:rsid w:val="000D1D07"/>
    <w:rsid w:val="000D5065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81C4E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57D72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3CA3"/>
    <w:rsid w:val="0043491A"/>
    <w:rsid w:val="00436D78"/>
    <w:rsid w:val="00443359"/>
    <w:rsid w:val="004504BD"/>
    <w:rsid w:val="00461F4D"/>
    <w:rsid w:val="00464964"/>
    <w:rsid w:val="00473BF7"/>
    <w:rsid w:val="0048125D"/>
    <w:rsid w:val="00490316"/>
    <w:rsid w:val="004A640A"/>
    <w:rsid w:val="004B0B11"/>
    <w:rsid w:val="004E2837"/>
    <w:rsid w:val="004E4633"/>
    <w:rsid w:val="004E509A"/>
    <w:rsid w:val="004F3EAB"/>
    <w:rsid w:val="00513B3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515B9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4031"/>
    <w:rsid w:val="00B2726D"/>
    <w:rsid w:val="00B626F1"/>
    <w:rsid w:val="00B74E87"/>
    <w:rsid w:val="00B7691A"/>
    <w:rsid w:val="00B90F81"/>
    <w:rsid w:val="00B952DA"/>
    <w:rsid w:val="00BD0593"/>
    <w:rsid w:val="00BE408F"/>
    <w:rsid w:val="00BE6447"/>
    <w:rsid w:val="00BF063B"/>
    <w:rsid w:val="00BF1C0D"/>
    <w:rsid w:val="00BF58AC"/>
    <w:rsid w:val="00C05128"/>
    <w:rsid w:val="00C1181B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06ECA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2DFA"/>
    <w:rsid w:val="00DC2F87"/>
    <w:rsid w:val="00DC7733"/>
    <w:rsid w:val="00DF4DDC"/>
    <w:rsid w:val="00E0618C"/>
    <w:rsid w:val="00E16903"/>
    <w:rsid w:val="00E25203"/>
    <w:rsid w:val="00E27BF1"/>
    <w:rsid w:val="00E27D91"/>
    <w:rsid w:val="00E30880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935CA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683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6018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Admin</cp:lastModifiedBy>
  <cp:revision>24</cp:revision>
  <cp:lastPrinted>2015-12-03T07:43:00Z</cp:lastPrinted>
  <dcterms:created xsi:type="dcterms:W3CDTF">2015-03-13T08:01:00Z</dcterms:created>
  <dcterms:modified xsi:type="dcterms:W3CDTF">2015-12-03T14:15:00Z</dcterms:modified>
</cp:coreProperties>
</file>